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B908" w14:textId="77777777" w:rsidR="009B3DF5" w:rsidRPr="009B3DF5" w:rsidRDefault="009B3DF5" w:rsidP="009B3DF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9B3DF5">
        <w:rPr>
          <w:rFonts w:ascii="Times New Roman" w:eastAsia="Times New Roman" w:hAnsi="Times New Roman" w:cs="Times New Roman"/>
          <w:b/>
          <w:bCs/>
          <w:kern w:val="36"/>
          <w:sz w:val="48"/>
          <w:szCs w:val="48"/>
          <w:lang w:eastAsia="en-GB"/>
          <w14:ligatures w14:val="none"/>
        </w:rPr>
        <w:t>A Child’s Voice:</w:t>
      </w:r>
    </w:p>
    <w:p w14:paraId="48514A49"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b/>
          <w:bCs/>
          <w:kern w:val="0"/>
          <w:lang w:eastAsia="en-GB"/>
          <w14:ligatures w14:val="none"/>
        </w:rPr>
        <w:t>Co-Designing a Children’s Self-Harm and Suicide Prevention Programme to Bridge Clinical Research and Social Work Practice</w:t>
      </w:r>
    </w:p>
    <w:p w14:paraId="719BBF63"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b/>
          <w:bCs/>
          <w:kern w:val="0"/>
          <w:lang w:eastAsia="en-GB"/>
          <w14:ligatures w14:val="none"/>
        </w:rPr>
        <w:t>Mary Brockwell</w:t>
      </w:r>
      <w:r w:rsidRPr="009B3DF5">
        <w:rPr>
          <w:rFonts w:ascii="Times New Roman" w:eastAsia="Times New Roman" w:hAnsi="Times New Roman" w:cs="Times New Roman"/>
          <w:kern w:val="0"/>
          <w:lang w:eastAsia="en-GB"/>
          <w14:ligatures w14:val="none"/>
        </w:rPr>
        <w:br/>
        <w:t xml:space="preserve">Founder, </w:t>
      </w:r>
      <w:r w:rsidRPr="009B3DF5">
        <w:rPr>
          <w:rFonts w:ascii="Times New Roman" w:eastAsia="Times New Roman" w:hAnsi="Times New Roman" w:cs="Times New Roman"/>
          <w:i/>
          <w:iCs/>
          <w:kern w:val="0"/>
          <w:lang w:eastAsia="en-GB"/>
          <w14:ligatures w14:val="none"/>
        </w:rPr>
        <w:t>The Life Matters Charity</w:t>
      </w:r>
      <w:r w:rsidRPr="009B3DF5">
        <w:rPr>
          <w:rFonts w:ascii="Times New Roman" w:eastAsia="Times New Roman" w:hAnsi="Times New Roman" w:cs="Times New Roman"/>
          <w:kern w:val="0"/>
          <w:lang w:eastAsia="en-GB"/>
          <w14:ligatures w14:val="none"/>
        </w:rPr>
        <w:br/>
        <w:t>UK Registered Charity No. 1193469</w:t>
      </w:r>
    </w:p>
    <w:p w14:paraId="7F0A363E"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65CFC42A">
          <v:rect id="_x0000_i1220" style="width:0;height:1.5pt" o:hralign="center" o:hrstd="t" o:hr="t" fillcolor="#a0a0a0" stroked="f"/>
        </w:pict>
      </w:r>
    </w:p>
    <w:p w14:paraId="45CFDD56"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Abstract</w:t>
      </w:r>
    </w:p>
    <w:p w14:paraId="526B0CF9"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Children’s self-harm and suicidal distress represent an escalating public health and safeguarding concern internationally. Despite a substantial evidence base within clinical psychology and psychiatry, preventative interventions for children are predominantly developed and delivered within medicalised settings, often limiting their accessibility and relevance for everyday social work, education, and safeguarding practice. This paper presents the development, implementation, and early outcomes of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a structured ten-week self-harm and suicide prevention programme co-designed with children and young people. The programme aims to bridge the persistent gap between clinical research and frontline practice by translating evidence-informed principles into developmentally appropriate, safeguarding-led interventions that can be delivered outside clinical contexts. Central to the programme’s design is the ethical involvement of children as co-designers, recognising them as experts in their own lives while maintaining professional accountability and risk management. Drawing on practice-based evidence from early cohorts, this paper reports reductions in self-harm behaviours and suicidal thoughts, improved emotional literacy, enhanced engagement with education, and increased practitioner confidence. Qualitative feedback from children, families, and schools further contextualises these outcomes. The paper contributes to the growing literature on co-produced, early-intervention approaches within children’s mental health and safeguarding systems, offering a replicable model for integrating research evidence, social work values, and children’s voices.</w:t>
      </w:r>
    </w:p>
    <w:p w14:paraId="6FDD9966"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b/>
          <w:bCs/>
          <w:kern w:val="0"/>
          <w:lang w:eastAsia="en-GB"/>
          <w14:ligatures w14:val="none"/>
        </w:rPr>
        <w:t>Keywords:</w:t>
      </w:r>
      <w:r w:rsidRPr="009B3DF5">
        <w:rPr>
          <w:rFonts w:ascii="Times New Roman" w:eastAsia="Times New Roman" w:hAnsi="Times New Roman" w:cs="Times New Roman"/>
          <w:kern w:val="0"/>
          <w:lang w:eastAsia="en-GB"/>
          <w14:ligatures w14:val="none"/>
        </w:rPr>
        <w:t xml:space="preserve"> children’s mental health; self-harm prevention; suicide prevention; co-design; safeguarding; social work practice; early intervention</w:t>
      </w:r>
    </w:p>
    <w:p w14:paraId="2352E24E"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6EA574E5">
          <v:rect id="_x0000_i1221" style="width:0;height:1.5pt" o:hralign="center" o:hrstd="t" o:hr="t" fillcolor="#a0a0a0" stroked="f"/>
        </w:pict>
      </w:r>
    </w:p>
    <w:p w14:paraId="3DC094BD"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1. Introduction</w:t>
      </w:r>
    </w:p>
    <w:p w14:paraId="2016FEAA"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Self-harm and suicidal distress among children and young people constitute a significant and growing concern within public health, education, and social care systems worldwide (Hawton et al., 2012; Public Health England [PHE], 2021). Research indicates increasing prevalence of emotional distress associated with anxiety, depression, trauma exposure, exploitation, online harms, and wider contextual safeguarding risks (Bennett et al., 2020). While not all distress leads to self-harm or suicidal behaviour, emotional difficulties during childhood are strongly associated with later mental health problems, educational disengagement, and social exclusion if left unaddressed (Ford et al., 2017).</w:t>
      </w:r>
    </w:p>
    <w:p w14:paraId="2D3477BB"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lastRenderedPageBreak/>
        <w:t>Despite this growing need, many children experiencing significant distress do not meet thresholds for specialist mental health services. Threshold-based systems can result in delayed intervention, episodic crisis responses, and reliance on referral pathways rather than early, relational support (Bennett et al., 2020). Children below clinical thresholds may nevertheless experience persistent distress, self-harm behaviours, or suicidal thoughts that remain largely unaddressed within universal and targeted services.</w:t>
      </w:r>
    </w:p>
    <w:p w14:paraId="50E20EB5"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A further challenge lies in the translation of research into practice. Although clinical and epidemiological research provides valuable insight into risk factors, protective factors, and effective interventions, frontline practitioners in social work, education, and youth services frequently report difficulty applying this evidence in everyday safeguarding contexts (Munro, 2011). This disconnect contributes to inconsistent responses, professional anxiety, and missed opportunities for prevention.</w:t>
      </w:r>
    </w:p>
    <w:p w14:paraId="0B5B246D"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was developed in response to these gaps. The programme is grounded in the belief that effective prevention must occur early, be accessible outside clinical settings, and be delivered by trusted adults equipped with safeguarding knowledge. Central to its development is the ethical involvement of children as co-designers, recognising children not as passive recipients of adult-designed interventions but as active contributors with unique expertise in their own experiences (Lundy, 2007).</w:t>
      </w:r>
    </w:p>
    <w:p w14:paraId="429127F0"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This paper presents the rationale, development, co-design methodology, structure, and early outcomes of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It argues that co-produced, safeguarding-led programmes can meaningfully bridge the divide between clinical research and frontline social work practice, contributing to more equitable and effective early intervention for children at risk.</w:t>
      </w:r>
    </w:p>
    <w:p w14:paraId="55B600D2"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5C8255C6">
          <v:rect id="_x0000_i1222" style="width:0;height:1.5pt" o:hralign="center" o:hrstd="t" o:hr="t" fillcolor="#a0a0a0" stroked="f"/>
        </w:pict>
      </w:r>
    </w:p>
    <w:p w14:paraId="424A61F0"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2. Background and Rationale</w:t>
      </w:r>
    </w:p>
    <w:p w14:paraId="3A9C125F"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2.1 Self-Harm and Suicide Prevention in Children</w:t>
      </w:r>
    </w:p>
    <w:p w14:paraId="1079ACB8"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Self-harm is commonly defined as intentional self-injury or poisoning irrespective of suicidal intent (Hawton et al., 2012). Among children and adolescents, self-harm is associated with emotional regulation difficulties, trauma exposure, peer difficulties, and feelings of hopelessness. While suicide among children remains statistically rare, suicidal thoughts and behaviours represent a critical risk factor for later harm and require proactive prevention (Tishler &amp; Reiss, 2009).</w:t>
      </w:r>
    </w:p>
    <w:p w14:paraId="26E3B908"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Clinical interventions play an essential role in supporting children with complex or severe needs. However, reliance on specialist services alone risks excluding children whose distress is significant but does not meet diagnostic thresholds. Preventative approaches that strengthen emotional literacy, coping skills, and help-seeking behaviours are therefore essential components of a comprehensive safeguarding response (Wolpert et al., 2019).</w:t>
      </w:r>
    </w:p>
    <w:p w14:paraId="093E2580"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2.2 Bridging Research and Frontline Practice</w:t>
      </w:r>
    </w:p>
    <w:p w14:paraId="30315ED1"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A persistent theme in social work and safeguarding literature is the gap between research evidence and practice realities (Munro, 2011). Clinical research often prioritises controlled </w:t>
      </w:r>
      <w:r w:rsidRPr="009B3DF5">
        <w:rPr>
          <w:rFonts w:ascii="Times New Roman" w:eastAsia="Times New Roman" w:hAnsi="Times New Roman" w:cs="Times New Roman"/>
          <w:kern w:val="0"/>
          <w:lang w:eastAsia="en-GB"/>
          <w14:ligatures w14:val="none"/>
        </w:rPr>
        <w:lastRenderedPageBreak/>
        <w:t>environments, diagnostic frameworks, and outcome measures that may not align with the relational, contextual, and ethical complexities of frontline work. Practitioners require interventions that are evidence-informed yet flexible, developmentally appropriate, and embedded within safeguarding systems rather than isolated clinical models.</w:t>
      </w:r>
    </w:p>
    <w:p w14:paraId="710F3E0E"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was intentionally designed to translate evidence from developmental psychology, suicide prevention research, and resilience theory into practical activities that can be delivered in schools, community settings, and social care contexts (Masten, 2014). Rather than replicating clinical treatment models, the programme adopts a preventative, strengths-based approach aligned with social work values of empowerment, participation, and relational practice.</w:t>
      </w:r>
    </w:p>
    <w:p w14:paraId="70CC9FE3"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2.3 The Importance of Children’s Participation</w:t>
      </w:r>
    </w:p>
    <w:p w14:paraId="751EAA98"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Children’s participation in decisions affecting their lives is a fundamental principle of rights-based practice, enshrined in Article 12 of the United Nations Convention on the Rights of the Child (UNCRC; United Nations General Assembly, 1989). However, participation is frequently tokenistic, particularly within sensitive areas such as mental health and safeguarding (Lundy, 2007).</w:t>
      </w:r>
    </w:p>
    <w:p w14:paraId="34836F0C"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Involving children in the design of self-harm and suicide prevention programmes raises ethical considerations, including safeguarding, power dynamics, and the risk of inappropriate disclosure. Nevertheless, excluding children’s perspectives risks producing interventions that fail to resonate with those they are intended to support.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sought to navigate these tensions through carefully structured, ethically informed co-design processes.</w:t>
      </w:r>
    </w:p>
    <w:p w14:paraId="3147F381"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0F216C04">
          <v:rect id="_x0000_i1223" style="width:0;height:1.5pt" o:hralign="center" o:hrstd="t" o:hr="t" fillcolor="#a0a0a0" stroked="f"/>
        </w:pict>
      </w:r>
    </w:p>
    <w:p w14:paraId="30557507"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3. Programme Development</w:t>
      </w:r>
    </w:p>
    <w:p w14:paraId="59776D3A"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3.1 Origins and Practice-Led Learning</w:t>
      </w:r>
    </w:p>
    <w:p w14:paraId="55A6222F"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The development of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emerged from practice-based learning within The Life Matters Charity. In 2021, the charity supported over 50 children and young people experiencing self-harm, suicidal thoughts, or suicide attempts. At this stage, interventions were intentionally flexible and child-led, including safety planning, psychoeducation, relational support, and life-story work. Many children were not attending school, necessitating delivery in community and alternative settings.</w:t>
      </w:r>
    </w:p>
    <w:p w14:paraId="617A564A"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Although formal outcome measures were not used during this exploratory phase, practitioners observed consistent patterns of improvement in emotional expression, engagement, and perceived safety. This phase highlighted the need for a structured yet flexible programme that could retain child-centred principles while enabling consistency, training, and evaluation.</w:t>
      </w:r>
    </w:p>
    <w:p w14:paraId="2D4D4055"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3.2 Structured Development and Co-Production</w:t>
      </w:r>
    </w:p>
    <w:p w14:paraId="07A9C27E"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Between 2023 and 2024, learning from early practice informed the introduction of structured materials, including worksheets, psychoeducational resources, and enhanced safety planning tools. Children were actively involved in shaping language, activities, pacing, and themes. </w:t>
      </w:r>
      <w:r w:rsidRPr="009B3DF5">
        <w:rPr>
          <w:rFonts w:ascii="Times New Roman" w:eastAsia="Times New Roman" w:hAnsi="Times New Roman" w:cs="Times New Roman"/>
          <w:kern w:val="0"/>
          <w:lang w:eastAsia="en-GB"/>
          <w14:ligatures w14:val="none"/>
        </w:rPr>
        <w:lastRenderedPageBreak/>
        <w:t>Their feedback emphasised the importance of feeling respected, not judged, and not pressured to disclose personal experiences.</w:t>
      </w:r>
    </w:p>
    <w:p w14:paraId="16970570"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This iterative process led to the formal co-design of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developed collaboratively by children and the programme’s founder. The programme was subsequently accredited, enabling professionals to receive CPD-recognised training to deliver it across a range of settings.</w:t>
      </w:r>
    </w:p>
    <w:p w14:paraId="3AB84CDD"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10399C30">
          <v:rect id="_x0000_i1224" style="width:0;height:1.5pt" o:hralign="center" o:hrstd="t" o:hr="t" fillcolor="#a0a0a0" stroked="f"/>
        </w:pict>
      </w:r>
    </w:p>
    <w:p w14:paraId="4B699672"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4. Co-Design Methodology</w:t>
      </w:r>
    </w:p>
    <w:p w14:paraId="2CBD7D4A"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4.1 Ethical Framework</w:t>
      </w:r>
    </w:p>
    <w:p w14:paraId="7C7C4C9B"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Co-design activities were guided by safeguarding principles, informed consent, and clear professional boundaries. Children were not asked to disclose personal experiences of self-harm or suicidal distress. Instead, consultations focused on how support should feel, how adults should listen, and what makes children feel safe and respected.</w:t>
      </w:r>
    </w:p>
    <w:p w14:paraId="4793D683"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This approach aligns with Lundy’s (2007) model of participation, emphasising space, voice, audience, and influence. Adult facilitators retained responsibility for safeguarding, ensuring that participation did not place children or practitioners at risk.</w:t>
      </w:r>
    </w:p>
    <w:p w14:paraId="0D993157"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4.2 Children as Experts in Their Own Lives</w:t>
      </w:r>
    </w:p>
    <w:p w14:paraId="4906909A"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Children consistently highlighted the importance of language that felt non-clinical, activities that allowed choice, and sessions that balanced seriousness with creativity. Their input directly shaped programme structure, including the use of workbooks, visual tools, and reflective exercises. By valuing children’s expertise, the programme sought to enhance engagement and relevance without compromising professional accountability.</w:t>
      </w:r>
    </w:p>
    <w:p w14:paraId="1BE62E0D"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0D29A2E6">
          <v:rect id="_x0000_i1225" style="width:0;height:1.5pt" o:hralign="center" o:hrstd="t" o:hr="t" fillcolor="#a0a0a0" stroked="f"/>
        </w:pict>
      </w:r>
    </w:p>
    <w:p w14:paraId="688174D9"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5. Programme Structure and Content</w:t>
      </w:r>
    </w:p>
    <w:p w14:paraId="496C97A7" w14:textId="444D9172"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is delivered over ten weekly sessions</w:t>
      </w:r>
      <w:r w:rsidR="001E4EDB">
        <w:rPr>
          <w:rFonts w:ascii="Times New Roman" w:eastAsia="Times New Roman" w:hAnsi="Times New Roman" w:cs="Times New Roman"/>
          <w:kern w:val="0"/>
          <w:lang w:eastAsia="en-GB"/>
          <w14:ligatures w14:val="none"/>
        </w:rPr>
        <w:t xml:space="preserve"> with daily </w:t>
      </w:r>
      <w:proofErr w:type="spellStart"/>
      <w:r w:rsidR="001E4EDB">
        <w:rPr>
          <w:rFonts w:ascii="Times New Roman" w:eastAsia="Times New Roman" w:hAnsi="Times New Roman" w:cs="Times New Roman"/>
          <w:kern w:val="0"/>
          <w:lang w:eastAsia="en-GB"/>
          <w14:ligatures w14:val="none"/>
        </w:rPr>
        <w:t>committments</w:t>
      </w:r>
      <w:proofErr w:type="spellEnd"/>
      <w:r w:rsidRPr="009B3DF5">
        <w:rPr>
          <w:rFonts w:ascii="Times New Roman" w:eastAsia="Times New Roman" w:hAnsi="Times New Roman" w:cs="Times New Roman"/>
          <w:kern w:val="0"/>
          <w:lang w:eastAsia="en-GB"/>
          <w14:ligatures w14:val="none"/>
        </w:rPr>
        <w:t>, allowing time for trust-building, emotional literacy development, and consolidation of learning. Structured early intervention and relational continuity are well-established protective factors within preventative mental health frameworks (Wolpert et al., 2019).</w:t>
      </w:r>
    </w:p>
    <w:p w14:paraId="6602ADF1"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Each session includes:</w:t>
      </w:r>
    </w:p>
    <w:p w14:paraId="0FD7F34F" w14:textId="77777777" w:rsidR="009B3DF5" w:rsidRPr="009B3DF5" w:rsidRDefault="009B3DF5" w:rsidP="009B3DF5">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Clear aims, emotional boundaries, and safeguarding expectations</w:t>
      </w:r>
    </w:p>
    <w:p w14:paraId="6A9DE1BB" w14:textId="77777777" w:rsidR="009B3DF5" w:rsidRPr="009B3DF5" w:rsidRDefault="009B3DF5" w:rsidP="009B3DF5">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Evidence-informed, developmentally appropriate activities</w:t>
      </w:r>
    </w:p>
    <w:p w14:paraId="45E9C070" w14:textId="77777777" w:rsidR="009B3DF5" w:rsidRPr="009B3DF5" w:rsidRDefault="009B3DF5" w:rsidP="009B3DF5">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Opportunities for reflection and expression</w:t>
      </w:r>
    </w:p>
    <w:p w14:paraId="33886C0B" w14:textId="77777777" w:rsidR="009B3DF5" w:rsidRDefault="009B3DF5" w:rsidP="009B3DF5">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Facilitator-led discussions emphasising safety and help-seeking</w:t>
      </w:r>
    </w:p>
    <w:p w14:paraId="1F974450" w14:textId="42E37154" w:rsidR="00E87D85" w:rsidRPr="009B3DF5" w:rsidRDefault="00E87D85" w:rsidP="009B3DF5">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Education</w:t>
      </w:r>
    </w:p>
    <w:p w14:paraId="13A5B64B"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lastRenderedPageBreak/>
        <w:t>5.1 Core Content Areas</w:t>
      </w:r>
    </w:p>
    <w:p w14:paraId="574F1BFC"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The programme addresses a wide range of emotional and contextual factors influencing children’s wellbeing, including:</w:t>
      </w:r>
    </w:p>
    <w:p w14:paraId="10F169FE"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Low mood, anxiety, panic, and emotional overwhelm</w:t>
      </w:r>
    </w:p>
    <w:p w14:paraId="187BE7C7"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Self-perception, confidence, and identity</w:t>
      </w:r>
    </w:p>
    <w:p w14:paraId="6477811A"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Boundaries, consent, and trusted relationships</w:t>
      </w:r>
    </w:p>
    <w:p w14:paraId="57A0AB0B"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Preventative discussion of self-harm and suicidal thoughts, framed around safety and support</w:t>
      </w:r>
    </w:p>
    <w:p w14:paraId="49CEB4B7"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Contextual safeguarding issues such as exploitation, bullying, online harm, and domestic abuse</w:t>
      </w:r>
    </w:p>
    <w:p w14:paraId="19F7A3A7"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Equality, diversity, inclusion, and LGBTQ+ identity</w:t>
      </w:r>
    </w:p>
    <w:p w14:paraId="4C4E08F8" w14:textId="77777777" w:rsidR="009B3DF5" w:rsidRPr="009B3DF5" w:rsidRDefault="009B3DF5" w:rsidP="009B3DF5">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Hope, values, meaning, and future orientation</w:t>
      </w:r>
    </w:p>
    <w:p w14:paraId="68BB00FC"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Discussion of self-harm and suicide is carefully framed to avoid normalisation or triggering content, focusing instead on safety, support pathways, and adult responsibility.</w:t>
      </w:r>
    </w:p>
    <w:p w14:paraId="6921BD27"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5.2 Facilitation and Safeguarding</w:t>
      </w:r>
    </w:p>
    <w:p w14:paraId="4E6279CD"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All sessions are delivered by trained facilitators who have completed CPD-accredited training in safeguarding, ethical practice, and risk management. The programme does not replace statutory or therapeutic services. Where risk is identified, concerns are managed through established safeguarding and multi-agency pathways, in line with statutory guidance (Department for Education [DfE], 2023).</w:t>
      </w:r>
    </w:p>
    <w:p w14:paraId="32E7983F"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115B13A5">
          <v:rect id="_x0000_i1226" style="width:0;height:1.5pt" o:hralign="center" o:hrstd="t" o:hr="t" fillcolor="#a0a0a0" stroked="f"/>
        </w:pict>
      </w:r>
    </w:p>
    <w:p w14:paraId="79C87C81"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6. Early Outcomes and Impact</w:t>
      </w:r>
    </w:p>
    <w:p w14:paraId="1B5D55FB" w14:textId="77777777" w:rsidR="009B3DF5" w:rsidRPr="009B3DF5" w:rsidRDefault="009B3DF5" w:rsidP="009B3D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B3DF5">
        <w:rPr>
          <w:rFonts w:ascii="Times New Roman" w:eastAsia="Times New Roman" w:hAnsi="Times New Roman" w:cs="Times New Roman"/>
          <w:b/>
          <w:bCs/>
          <w:kern w:val="0"/>
          <w:sz w:val="27"/>
          <w:szCs w:val="27"/>
          <w:lang w:eastAsia="en-GB"/>
          <w14:ligatures w14:val="none"/>
        </w:rPr>
        <w:t>6.1 Quantitative Outcomes</w:t>
      </w:r>
    </w:p>
    <w:p w14:paraId="66B82E10"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Outcome data were collected from the first fully implemented cohort across five schools in Kent and Medway (n = 20; ages 11–18). Baseline and post-programme comparisons indicated:</w:t>
      </w:r>
    </w:p>
    <w:p w14:paraId="42CBF846" w14:textId="77777777" w:rsidR="009B3DF5" w:rsidRPr="009B3DF5" w:rsidRDefault="009B3DF5" w:rsidP="009B3DF5">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Reduction in self-harm incidents from 100% at baseline to 5% post-programme</w:t>
      </w:r>
    </w:p>
    <w:p w14:paraId="260074D1" w14:textId="77777777" w:rsidR="009B3DF5" w:rsidRPr="009B3DF5" w:rsidRDefault="009B3DF5" w:rsidP="009B3DF5">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Reduction in suicidal thoughts from 100% at baseline to 5% post-programme</w:t>
      </w:r>
    </w:p>
    <w:p w14:paraId="7A8E322A" w14:textId="77777777" w:rsidR="009B3DF5" w:rsidRPr="009B3DF5" w:rsidRDefault="009B3DF5" w:rsidP="009B3DF5">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Reduction in suicide attempts from 10% at baseline to 0% post-programme</w:t>
      </w:r>
    </w:p>
    <w:p w14:paraId="3C2776F6" w14:textId="77777777" w:rsidR="009B3DF5" w:rsidRPr="009B3DF5" w:rsidRDefault="009B3DF5" w:rsidP="009B3DF5">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No increase in referrals to crisis or specialist mental health services</w:t>
      </w:r>
    </w:p>
    <w:p w14:paraId="510B7F07" w14:textId="77777777" w:rsidR="009B3DF5" w:rsidRPr="009B3DF5" w:rsidRDefault="009B3DF5" w:rsidP="009B3DF5">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Elimination of school refusal, including re-engagement of a previously disengaged pupil</w:t>
      </w:r>
    </w:p>
    <w:p w14:paraId="41150A35"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A significant proportion of participants were subject to statutory safeguarding interventions, with 25% under Child Protection plans and 15% under Child in Need plans, highlighting the programme’s applicability within high-risk contexts.</w:t>
      </w:r>
    </w:p>
    <w:p w14:paraId="5F3564D9"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6E0D5C5B">
          <v:rect id="_x0000_i1227" style="width:0;height:1.5pt" o:hralign="center" o:hrstd="t" o:hr="t" fillcolor="#a0a0a0" stroked="f"/>
        </w:pict>
      </w:r>
    </w:p>
    <w:p w14:paraId="1E6AD19E"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lastRenderedPageBreak/>
        <w:t>7. Qualitative Feedback and Stakeholder Perspectives</w:t>
      </w:r>
    </w:p>
    <w:p w14:paraId="02F86CC0"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Alongside quantitative outcomes, qualitative feedback provides important insight into perceived impact and acceptability.</w:t>
      </w:r>
    </w:p>
    <w:p w14:paraId="0F70A6C5"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Parents reported significant improvements in their children’s emotional wellbeing, engagement, and confidence. One parent described the programme as having “done more for my child in ten weeks than CAMHS have done in four years.” This child had a diagnosis of Functional Neurological Disorder (FND), a history of self-harm, and was not attending school prior to participation.</w:t>
      </w:r>
    </w:p>
    <w:p w14:paraId="6FBA7CB4"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Children consistently reported feeling listened to and respected. Several identified </w:t>
      </w:r>
      <w:proofErr w:type="gramStart"/>
      <w:r w:rsidRPr="009B3DF5">
        <w:rPr>
          <w:rFonts w:ascii="Times New Roman" w:eastAsia="Times New Roman" w:hAnsi="Times New Roman" w:cs="Times New Roman"/>
          <w:kern w:val="0"/>
          <w:lang w:eastAsia="en-GB"/>
          <w14:ligatures w14:val="none"/>
        </w:rPr>
        <w:t>feeling</w:t>
      </w:r>
      <w:proofErr w:type="gramEnd"/>
      <w:r w:rsidRPr="009B3DF5">
        <w:rPr>
          <w:rFonts w:ascii="Times New Roman" w:eastAsia="Times New Roman" w:hAnsi="Times New Roman" w:cs="Times New Roman"/>
          <w:kern w:val="0"/>
          <w:lang w:eastAsia="en-GB"/>
          <w14:ligatures w14:val="none"/>
        </w:rPr>
        <w:t xml:space="preserve"> “heard” as central to their engagement. One child reported making a personal pledge during the first week and did not engage in self-harm for the remainder of the programme, stating that participation helped them feel “less stressed and more confident.”</w:t>
      </w:r>
    </w:p>
    <w:p w14:paraId="604EEB84"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Longer-term qualitative outcomes were also observed. Some children from early cohorts have since expressed aspirations to pursue careers in mental health and related professions, citing their experiences of being supported and empowered.</w:t>
      </w:r>
    </w:p>
    <w:p w14:paraId="4EAE16F8"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Schools reported that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complements education by addressing emotional and safeguarding needs that may otherwise act as barriers to learning. Education professionals described the programme as supporting engagement, inclusion, and long-term opportunities.</w:t>
      </w:r>
    </w:p>
    <w:p w14:paraId="07B41724"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119D10D6">
          <v:rect id="_x0000_i1228" style="width:0;height:1.5pt" o:hralign="center" o:hrstd="t" o:hr="t" fillcolor="#a0a0a0" stroked="f"/>
        </w:pict>
      </w:r>
    </w:p>
    <w:p w14:paraId="22E87AE6"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8. Whole-Family and Ecological Approach</w:t>
      </w:r>
    </w:p>
    <w:p w14:paraId="4BBF9395"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The programme adopts a whole-family perspective, recognising children’s wellbeing as shaped by family systems, schools, and wider environments (Bronfenbrenner, 1979). Alongside direct work with children,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provides guidance and signposting for parents and carers, liaison with professionals, and referrals where appropriate. Across one cohort, up to 80 family members were supported, strengthening protective factors and reducing isolation.</w:t>
      </w:r>
    </w:p>
    <w:p w14:paraId="0F8DA6A7"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519BAC4C">
          <v:rect id="_x0000_i1229" style="width:0;height:1.5pt" o:hralign="center" o:hrstd="t" o:hr="t" fillcolor="#a0a0a0" stroked="f"/>
        </w:pict>
      </w:r>
    </w:p>
    <w:p w14:paraId="483F213F"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9. Discussion</w:t>
      </w:r>
    </w:p>
    <w:p w14:paraId="38EB39CA"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 xml:space="preserve">The development of </w:t>
      </w: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demonstrates the potential of ethically implemented co-design to bridge the divide between research and practice. By translating evidence into accessible, safeguarding-led interventions, the programme supports early prevention without medicalising distress or excluding children below clinical thresholds.</w:t>
      </w:r>
    </w:p>
    <w:p w14:paraId="3314D44C"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The programme aligns with contemporary safeguarding priorities emphasising early help, contextual safeguarding, and child-centred practice (DfE, 2023). It also contributes to the growing recognition that children’s voices must meaningfully shape the services designed to support them.</w:t>
      </w:r>
    </w:p>
    <w:p w14:paraId="41214040"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lastRenderedPageBreak/>
        <w:pict w14:anchorId="5C2DAF2F">
          <v:rect id="_x0000_i1230" style="width:0;height:1.5pt" o:hralign="center" o:hrstd="t" o:hr="t" fillcolor="#a0a0a0" stroked="f"/>
        </w:pict>
      </w:r>
    </w:p>
    <w:p w14:paraId="33AAAC85"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10. Limitations and Future Research</w:t>
      </w:r>
    </w:p>
    <w:p w14:paraId="35A938EB"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This evaluation is based on a small sample within a specific geographical context. Outcomes are practice-based and not independently evaluated. Future research should include larger samples, validated measures, independent evaluation, and longitudinal follow-up to assess sustainability and transferability.</w:t>
      </w:r>
    </w:p>
    <w:p w14:paraId="37F9579A"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5FA6742A">
          <v:rect id="_x0000_i1231" style="width:0;height:1.5pt" o:hralign="center" o:hrstd="t" o:hr="t" fillcolor="#a0a0a0" stroked="f"/>
        </w:pict>
      </w:r>
    </w:p>
    <w:p w14:paraId="73A28CAE"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11. Ethical Considerations</w:t>
      </w:r>
    </w:p>
    <w:p w14:paraId="3DFBD1F8"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t>The programme was delivered as a preventative, non-clinical intervention guided by safeguarding and ethical principles. Co-design participation was voluntary, age-appropriate, and did not involve disclosure of personal experiences. Statutory safeguarding pathways were maintained throughout.</w:t>
      </w:r>
    </w:p>
    <w:p w14:paraId="00B2DA29"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0FC36426">
          <v:rect id="_x0000_i1232" style="width:0;height:1.5pt" o:hralign="center" o:hrstd="t" o:hr="t" fillcolor="#a0a0a0" stroked="f"/>
        </w:pict>
      </w:r>
    </w:p>
    <w:p w14:paraId="6867F9CF"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12. Conclusion</w:t>
      </w:r>
    </w:p>
    <w:p w14:paraId="77E76CC3" w14:textId="77777777" w:rsidR="009B3DF5" w:rsidRPr="009B3DF5" w:rsidRDefault="009B3DF5" w:rsidP="009B3DF5">
      <w:pPr>
        <w:spacing w:before="100" w:beforeAutospacing="1" w:after="100" w:afterAutospacing="1"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i/>
          <w:iCs/>
          <w:kern w:val="0"/>
          <w:lang w:eastAsia="en-GB"/>
          <w14:ligatures w14:val="none"/>
        </w:rPr>
        <w:t>A Child’s Voice</w:t>
      </w:r>
      <w:r w:rsidRPr="009B3DF5">
        <w:rPr>
          <w:rFonts w:ascii="Times New Roman" w:eastAsia="Times New Roman" w:hAnsi="Times New Roman" w:cs="Times New Roman"/>
          <w:kern w:val="0"/>
          <w:lang w:eastAsia="en-GB"/>
          <w14:ligatures w14:val="none"/>
        </w:rPr>
        <w:t xml:space="preserve"> offers a replicable, practice-based model for children’s self-harm and suicide prevention that integrates research evidence, social work values, safeguarding practice, and children’s lived perspectives. Early outcomes suggest that co-produced, structured early-intervention programmes can play a critical role in safeguarding children’s mental wellbeing.</w:t>
      </w:r>
    </w:p>
    <w:p w14:paraId="04447618" w14:textId="77777777" w:rsidR="009B3DF5" w:rsidRPr="009B3DF5" w:rsidRDefault="009B3DF5" w:rsidP="009B3DF5">
      <w:pPr>
        <w:spacing w:after="0" w:line="240" w:lineRule="auto"/>
        <w:rPr>
          <w:rFonts w:ascii="Times New Roman" w:eastAsia="Times New Roman" w:hAnsi="Times New Roman" w:cs="Times New Roman"/>
          <w:kern w:val="0"/>
          <w:lang w:eastAsia="en-GB"/>
          <w14:ligatures w14:val="none"/>
        </w:rPr>
      </w:pPr>
      <w:r w:rsidRPr="009B3DF5">
        <w:rPr>
          <w:rFonts w:ascii="Times New Roman" w:eastAsia="Times New Roman" w:hAnsi="Times New Roman" w:cs="Times New Roman"/>
          <w:kern w:val="0"/>
          <w:lang w:eastAsia="en-GB"/>
          <w14:ligatures w14:val="none"/>
        </w:rPr>
        <w:pict w14:anchorId="55E5C711">
          <v:rect id="_x0000_i1233" style="width:0;height:1.5pt" o:hralign="center" o:hrstd="t" o:hr="t" fillcolor="#a0a0a0" stroked="f"/>
        </w:pict>
      </w:r>
    </w:p>
    <w:p w14:paraId="517336EE" w14:textId="77777777" w:rsidR="009B3DF5" w:rsidRPr="009B3DF5" w:rsidRDefault="009B3DF5" w:rsidP="009B3DF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B3DF5">
        <w:rPr>
          <w:rFonts w:ascii="Times New Roman" w:eastAsia="Times New Roman" w:hAnsi="Times New Roman" w:cs="Times New Roman"/>
          <w:b/>
          <w:bCs/>
          <w:kern w:val="0"/>
          <w:sz w:val="36"/>
          <w:szCs w:val="36"/>
          <w:lang w:eastAsia="en-GB"/>
          <w14:ligatures w14:val="none"/>
        </w:rPr>
        <w:t>References (APA)</w:t>
      </w:r>
    </w:p>
    <w:p w14:paraId="7DBD9024" w14:textId="4DE75767" w:rsidR="00BA7EE8" w:rsidRPr="003C13CC" w:rsidRDefault="009B3DF5" w:rsidP="00683E0D">
      <w:pPr>
        <w:spacing w:before="100" w:beforeAutospacing="1" w:after="100" w:afterAutospacing="1" w:line="240" w:lineRule="auto"/>
      </w:pPr>
      <w:r w:rsidRPr="009B3DF5">
        <w:rPr>
          <w:rFonts w:ascii="Times New Roman" w:eastAsia="Times New Roman" w:hAnsi="Times New Roman" w:cs="Times New Roman"/>
          <w:kern w:val="0"/>
          <w:lang w:eastAsia="en-GB"/>
          <w14:ligatures w14:val="none"/>
        </w:rPr>
        <w:t xml:space="preserve">Bennett, S., Shiner, M., &amp; Wright, S. (2020). Mental health, thresholds and access to support. </w:t>
      </w:r>
      <w:r w:rsidRPr="009B3DF5">
        <w:rPr>
          <w:rFonts w:ascii="Times New Roman" w:eastAsia="Times New Roman" w:hAnsi="Times New Roman" w:cs="Times New Roman"/>
          <w:i/>
          <w:iCs/>
          <w:kern w:val="0"/>
          <w:lang w:eastAsia="en-GB"/>
          <w14:ligatures w14:val="none"/>
        </w:rPr>
        <w:t>British Journal of Social Work, 50</w:t>
      </w:r>
      <w:r w:rsidRPr="009B3DF5">
        <w:rPr>
          <w:rFonts w:ascii="Times New Roman" w:eastAsia="Times New Roman" w:hAnsi="Times New Roman" w:cs="Times New Roman"/>
          <w:kern w:val="0"/>
          <w:lang w:eastAsia="en-GB"/>
          <w14:ligatures w14:val="none"/>
        </w:rPr>
        <w:t>(5), 1412–1429.</w:t>
      </w:r>
      <w:r w:rsidRPr="009B3DF5">
        <w:rPr>
          <w:rFonts w:ascii="Times New Roman" w:eastAsia="Times New Roman" w:hAnsi="Times New Roman" w:cs="Times New Roman"/>
          <w:kern w:val="0"/>
          <w:lang w:eastAsia="en-GB"/>
          <w14:ligatures w14:val="none"/>
        </w:rPr>
        <w:br/>
        <w:t xml:space="preserve">Bronfenbrenner, U. (1979). </w:t>
      </w:r>
      <w:r w:rsidRPr="009B3DF5">
        <w:rPr>
          <w:rFonts w:ascii="Times New Roman" w:eastAsia="Times New Roman" w:hAnsi="Times New Roman" w:cs="Times New Roman"/>
          <w:i/>
          <w:iCs/>
          <w:kern w:val="0"/>
          <w:lang w:eastAsia="en-GB"/>
          <w14:ligatures w14:val="none"/>
        </w:rPr>
        <w:t>The ecology of human development</w:t>
      </w:r>
      <w:r w:rsidRPr="009B3DF5">
        <w:rPr>
          <w:rFonts w:ascii="Times New Roman" w:eastAsia="Times New Roman" w:hAnsi="Times New Roman" w:cs="Times New Roman"/>
          <w:kern w:val="0"/>
          <w:lang w:eastAsia="en-GB"/>
          <w14:ligatures w14:val="none"/>
        </w:rPr>
        <w:t>. Harvard University Press.</w:t>
      </w:r>
      <w:r w:rsidRPr="009B3DF5">
        <w:rPr>
          <w:rFonts w:ascii="Times New Roman" w:eastAsia="Times New Roman" w:hAnsi="Times New Roman" w:cs="Times New Roman"/>
          <w:kern w:val="0"/>
          <w:lang w:eastAsia="en-GB"/>
          <w14:ligatures w14:val="none"/>
        </w:rPr>
        <w:br/>
        <w:t xml:space="preserve">Department for Education. (2023). </w:t>
      </w:r>
      <w:r w:rsidRPr="009B3DF5">
        <w:rPr>
          <w:rFonts w:ascii="Times New Roman" w:eastAsia="Times New Roman" w:hAnsi="Times New Roman" w:cs="Times New Roman"/>
          <w:i/>
          <w:iCs/>
          <w:kern w:val="0"/>
          <w:lang w:eastAsia="en-GB"/>
          <w14:ligatures w14:val="none"/>
        </w:rPr>
        <w:t>Keeping children safe in education</w:t>
      </w:r>
      <w:r w:rsidRPr="009B3DF5">
        <w:rPr>
          <w:rFonts w:ascii="Times New Roman" w:eastAsia="Times New Roman" w:hAnsi="Times New Roman" w:cs="Times New Roman"/>
          <w:kern w:val="0"/>
          <w:lang w:eastAsia="en-GB"/>
          <w14:ligatures w14:val="none"/>
        </w:rPr>
        <w:t>. DfE.</w:t>
      </w:r>
      <w:r w:rsidRPr="009B3DF5">
        <w:rPr>
          <w:rFonts w:ascii="Times New Roman" w:eastAsia="Times New Roman" w:hAnsi="Times New Roman" w:cs="Times New Roman"/>
          <w:kern w:val="0"/>
          <w:lang w:eastAsia="en-GB"/>
          <w14:ligatures w14:val="none"/>
        </w:rPr>
        <w:br/>
        <w:t xml:space="preserve">Ford, T., Hamilton, H., Meltzer, H., &amp; Goodman, R. (2017). Predictors of service use for mental health problems. </w:t>
      </w:r>
      <w:r w:rsidRPr="009B3DF5">
        <w:rPr>
          <w:rFonts w:ascii="Times New Roman" w:eastAsia="Times New Roman" w:hAnsi="Times New Roman" w:cs="Times New Roman"/>
          <w:i/>
          <w:iCs/>
          <w:kern w:val="0"/>
          <w:lang w:eastAsia="en-GB"/>
          <w14:ligatures w14:val="none"/>
        </w:rPr>
        <w:t>Child and Adolescent Mental Health, 22</w:t>
      </w:r>
      <w:r w:rsidRPr="009B3DF5">
        <w:rPr>
          <w:rFonts w:ascii="Times New Roman" w:eastAsia="Times New Roman" w:hAnsi="Times New Roman" w:cs="Times New Roman"/>
          <w:kern w:val="0"/>
          <w:lang w:eastAsia="en-GB"/>
          <w14:ligatures w14:val="none"/>
        </w:rPr>
        <w:t>(2), 55–62.</w:t>
      </w:r>
      <w:r w:rsidRPr="009B3DF5">
        <w:rPr>
          <w:rFonts w:ascii="Times New Roman" w:eastAsia="Times New Roman" w:hAnsi="Times New Roman" w:cs="Times New Roman"/>
          <w:kern w:val="0"/>
          <w:lang w:eastAsia="en-GB"/>
          <w14:ligatures w14:val="none"/>
        </w:rPr>
        <w:br/>
        <w:t xml:space="preserve">Hawton, K., Saunders, K., &amp; O’Connor, R. (2012). Self-harm and suicide in adolescents. </w:t>
      </w:r>
      <w:r w:rsidRPr="009B3DF5">
        <w:rPr>
          <w:rFonts w:ascii="Times New Roman" w:eastAsia="Times New Roman" w:hAnsi="Times New Roman" w:cs="Times New Roman"/>
          <w:i/>
          <w:iCs/>
          <w:kern w:val="0"/>
          <w:lang w:eastAsia="en-GB"/>
          <w14:ligatures w14:val="none"/>
        </w:rPr>
        <w:t>The Lancet, 379</w:t>
      </w:r>
      <w:r w:rsidRPr="009B3DF5">
        <w:rPr>
          <w:rFonts w:ascii="Times New Roman" w:eastAsia="Times New Roman" w:hAnsi="Times New Roman" w:cs="Times New Roman"/>
          <w:kern w:val="0"/>
          <w:lang w:eastAsia="en-GB"/>
          <w14:ligatures w14:val="none"/>
        </w:rPr>
        <w:t>(9834), 2373–2382.</w:t>
      </w:r>
      <w:r w:rsidRPr="009B3DF5">
        <w:rPr>
          <w:rFonts w:ascii="Times New Roman" w:eastAsia="Times New Roman" w:hAnsi="Times New Roman" w:cs="Times New Roman"/>
          <w:kern w:val="0"/>
          <w:lang w:eastAsia="en-GB"/>
          <w14:ligatures w14:val="none"/>
        </w:rPr>
        <w:br/>
        <w:t xml:space="preserve">Lundy, L. (2007). Voice is not enough. </w:t>
      </w:r>
      <w:r w:rsidRPr="009B3DF5">
        <w:rPr>
          <w:rFonts w:ascii="Times New Roman" w:eastAsia="Times New Roman" w:hAnsi="Times New Roman" w:cs="Times New Roman"/>
          <w:i/>
          <w:iCs/>
          <w:kern w:val="0"/>
          <w:lang w:eastAsia="en-GB"/>
          <w14:ligatures w14:val="none"/>
        </w:rPr>
        <w:t>British Educational Research Journal, 33</w:t>
      </w:r>
      <w:r w:rsidRPr="009B3DF5">
        <w:rPr>
          <w:rFonts w:ascii="Times New Roman" w:eastAsia="Times New Roman" w:hAnsi="Times New Roman" w:cs="Times New Roman"/>
          <w:kern w:val="0"/>
          <w:lang w:eastAsia="en-GB"/>
          <w14:ligatures w14:val="none"/>
        </w:rPr>
        <w:t>(6), 927–942.</w:t>
      </w:r>
      <w:r w:rsidRPr="009B3DF5">
        <w:rPr>
          <w:rFonts w:ascii="Times New Roman" w:eastAsia="Times New Roman" w:hAnsi="Times New Roman" w:cs="Times New Roman"/>
          <w:kern w:val="0"/>
          <w:lang w:eastAsia="en-GB"/>
          <w14:ligatures w14:val="none"/>
        </w:rPr>
        <w:br/>
        <w:t xml:space="preserve">Masten, A. S. (2014). </w:t>
      </w:r>
      <w:r w:rsidRPr="009B3DF5">
        <w:rPr>
          <w:rFonts w:ascii="Times New Roman" w:eastAsia="Times New Roman" w:hAnsi="Times New Roman" w:cs="Times New Roman"/>
          <w:i/>
          <w:iCs/>
          <w:kern w:val="0"/>
          <w:lang w:eastAsia="en-GB"/>
          <w14:ligatures w14:val="none"/>
        </w:rPr>
        <w:t>Ordinary magic: Resilience in development</w:t>
      </w:r>
      <w:r w:rsidRPr="009B3DF5">
        <w:rPr>
          <w:rFonts w:ascii="Times New Roman" w:eastAsia="Times New Roman" w:hAnsi="Times New Roman" w:cs="Times New Roman"/>
          <w:kern w:val="0"/>
          <w:lang w:eastAsia="en-GB"/>
          <w14:ligatures w14:val="none"/>
        </w:rPr>
        <w:t>. Guilford Press.</w:t>
      </w:r>
      <w:r w:rsidRPr="009B3DF5">
        <w:rPr>
          <w:rFonts w:ascii="Times New Roman" w:eastAsia="Times New Roman" w:hAnsi="Times New Roman" w:cs="Times New Roman"/>
          <w:kern w:val="0"/>
          <w:lang w:eastAsia="en-GB"/>
          <w14:ligatures w14:val="none"/>
        </w:rPr>
        <w:br/>
        <w:t xml:space="preserve">Munro, E. (2011). </w:t>
      </w:r>
      <w:r w:rsidRPr="009B3DF5">
        <w:rPr>
          <w:rFonts w:ascii="Times New Roman" w:eastAsia="Times New Roman" w:hAnsi="Times New Roman" w:cs="Times New Roman"/>
          <w:i/>
          <w:iCs/>
          <w:kern w:val="0"/>
          <w:lang w:eastAsia="en-GB"/>
          <w14:ligatures w14:val="none"/>
        </w:rPr>
        <w:t>The Munro review of child protection</w:t>
      </w:r>
      <w:r w:rsidRPr="009B3DF5">
        <w:rPr>
          <w:rFonts w:ascii="Times New Roman" w:eastAsia="Times New Roman" w:hAnsi="Times New Roman" w:cs="Times New Roman"/>
          <w:kern w:val="0"/>
          <w:lang w:eastAsia="en-GB"/>
          <w14:ligatures w14:val="none"/>
        </w:rPr>
        <w:t>. Department for Education.</w:t>
      </w:r>
      <w:r w:rsidRPr="009B3DF5">
        <w:rPr>
          <w:rFonts w:ascii="Times New Roman" w:eastAsia="Times New Roman" w:hAnsi="Times New Roman" w:cs="Times New Roman"/>
          <w:kern w:val="0"/>
          <w:lang w:eastAsia="en-GB"/>
          <w14:ligatures w14:val="none"/>
        </w:rPr>
        <w:br/>
        <w:t xml:space="preserve">Public Health England. (2021). </w:t>
      </w:r>
      <w:r w:rsidRPr="009B3DF5">
        <w:rPr>
          <w:rFonts w:ascii="Times New Roman" w:eastAsia="Times New Roman" w:hAnsi="Times New Roman" w:cs="Times New Roman"/>
          <w:i/>
          <w:iCs/>
          <w:kern w:val="0"/>
          <w:lang w:eastAsia="en-GB"/>
          <w14:ligatures w14:val="none"/>
        </w:rPr>
        <w:t>Preventing suicide in England</w:t>
      </w:r>
      <w:r w:rsidRPr="009B3DF5">
        <w:rPr>
          <w:rFonts w:ascii="Times New Roman" w:eastAsia="Times New Roman" w:hAnsi="Times New Roman" w:cs="Times New Roman"/>
          <w:kern w:val="0"/>
          <w:lang w:eastAsia="en-GB"/>
          <w14:ligatures w14:val="none"/>
        </w:rPr>
        <w:t>. PHE.</w:t>
      </w:r>
      <w:r w:rsidRPr="009B3DF5">
        <w:rPr>
          <w:rFonts w:ascii="Times New Roman" w:eastAsia="Times New Roman" w:hAnsi="Times New Roman" w:cs="Times New Roman"/>
          <w:kern w:val="0"/>
          <w:lang w:eastAsia="en-GB"/>
          <w14:ligatures w14:val="none"/>
        </w:rPr>
        <w:br/>
        <w:t xml:space="preserve">Tishler, C. L., &amp; Reiss, N. S. (2009). Suicide prevention obstacles. </w:t>
      </w:r>
      <w:r w:rsidRPr="009B3DF5">
        <w:rPr>
          <w:rFonts w:ascii="Times New Roman" w:eastAsia="Times New Roman" w:hAnsi="Times New Roman" w:cs="Times New Roman"/>
          <w:i/>
          <w:iCs/>
          <w:kern w:val="0"/>
          <w:lang w:eastAsia="en-GB"/>
          <w14:ligatures w14:val="none"/>
        </w:rPr>
        <w:t>Child and Adolescent Psychiatric Clinics of North America, 18</w:t>
      </w:r>
      <w:r w:rsidRPr="009B3DF5">
        <w:rPr>
          <w:rFonts w:ascii="Times New Roman" w:eastAsia="Times New Roman" w:hAnsi="Times New Roman" w:cs="Times New Roman"/>
          <w:kern w:val="0"/>
          <w:lang w:eastAsia="en-GB"/>
          <w14:ligatures w14:val="none"/>
        </w:rPr>
        <w:t>(3), 633–644.</w:t>
      </w:r>
      <w:r w:rsidRPr="009B3DF5">
        <w:rPr>
          <w:rFonts w:ascii="Times New Roman" w:eastAsia="Times New Roman" w:hAnsi="Times New Roman" w:cs="Times New Roman"/>
          <w:kern w:val="0"/>
          <w:lang w:eastAsia="en-GB"/>
          <w14:ligatures w14:val="none"/>
        </w:rPr>
        <w:br/>
        <w:t xml:space="preserve">United Nations General Assembly. (1989). </w:t>
      </w:r>
      <w:r w:rsidRPr="009B3DF5">
        <w:rPr>
          <w:rFonts w:ascii="Times New Roman" w:eastAsia="Times New Roman" w:hAnsi="Times New Roman" w:cs="Times New Roman"/>
          <w:i/>
          <w:iCs/>
          <w:kern w:val="0"/>
          <w:lang w:eastAsia="en-GB"/>
          <w14:ligatures w14:val="none"/>
        </w:rPr>
        <w:t>Convention on the Rights of the Child</w:t>
      </w:r>
      <w:r w:rsidRPr="009B3DF5">
        <w:rPr>
          <w:rFonts w:ascii="Times New Roman" w:eastAsia="Times New Roman" w:hAnsi="Times New Roman" w:cs="Times New Roman"/>
          <w:kern w:val="0"/>
          <w:lang w:eastAsia="en-GB"/>
          <w14:ligatures w14:val="none"/>
        </w:rPr>
        <w:t>.</w:t>
      </w:r>
      <w:r w:rsidRPr="009B3DF5">
        <w:rPr>
          <w:rFonts w:ascii="Times New Roman" w:eastAsia="Times New Roman" w:hAnsi="Times New Roman" w:cs="Times New Roman"/>
          <w:kern w:val="0"/>
          <w:lang w:eastAsia="en-GB"/>
          <w14:ligatures w14:val="none"/>
        </w:rPr>
        <w:br/>
        <w:t xml:space="preserve">Wolpert, M., et al. (2019). </w:t>
      </w:r>
      <w:r w:rsidRPr="009B3DF5">
        <w:rPr>
          <w:rFonts w:ascii="Times New Roman" w:eastAsia="Times New Roman" w:hAnsi="Times New Roman" w:cs="Times New Roman"/>
          <w:i/>
          <w:iCs/>
          <w:kern w:val="0"/>
          <w:lang w:eastAsia="en-GB"/>
          <w14:ligatures w14:val="none"/>
        </w:rPr>
        <w:t>The THRIVE framework</w:t>
      </w:r>
      <w:r w:rsidRPr="009B3DF5">
        <w:rPr>
          <w:rFonts w:ascii="Times New Roman" w:eastAsia="Times New Roman" w:hAnsi="Times New Roman" w:cs="Times New Roman"/>
          <w:kern w:val="0"/>
          <w:lang w:eastAsia="en-GB"/>
          <w14:ligatures w14:val="none"/>
        </w:rPr>
        <w:t>. Anna Freud Centre.</w:t>
      </w:r>
    </w:p>
    <w:sectPr w:rsidR="00BA7EE8" w:rsidRPr="003C1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DC1"/>
    <w:multiLevelType w:val="multilevel"/>
    <w:tmpl w:val="01C8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125F7"/>
    <w:multiLevelType w:val="multilevel"/>
    <w:tmpl w:val="401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7CE4"/>
    <w:multiLevelType w:val="multilevel"/>
    <w:tmpl w:val="258A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47A6E"/>
    <w:multiLevelType w:val="multilevel"/>
    <w:tmpl w:val="64DA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4E99"/>
    <w:multiLevelType w:val="multilevel"/>
    <w:tmpl w:val="26B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027E8"/>
    <w:multiLevelType w:val="multilevel"/>
    <w:tmpl w:val="58E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C33AC"/>
    <w:multiLevelType w:val="multilevel"/>
    <w:tmpl w:val="211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14D68"/>
    <w:multiLevelType w:val="multilevel"/>
    <w:tmpl w:val="999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40BF7"/>
    <w:multiLevelType w:val="multilevel"/>
    <w:tmpl w:val="8E5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93FF5"/>
    <w:multiLevelType w:val="multilevel"/>
    <w:tmpl w:val="D1AA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73DFB"/>
    <w:multiLevelType w:val="multilevel"/>
    <w:tmpl w:val="170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552C6"/>
    <w:multiLevelType w:val="multilevel"/>
    <w:tmpl w:val="75FC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75C5A"/>
    <w:multiLevelType w:val="multilevel"/>
    <w:tmpl w:val="5DE2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F1A10"/>
    <w:multiLevelType w:val="multilevel"/>
    <w:tmpl w:val="0CE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66FAA"/>
    <w:multiLevelType w:val="multilevel"/>
    <w:tmpl w:val="570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34B12"/>
    <w:multiLevelType w:val="multilevel"/>
    <w:tmpl w:val="4802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642560">
    <w:abstractNumId w:val="0"/>
  </w:num>
  <w:num w:numId="2" w16cid:durableId="1267814054">
    <w:abstractNumId w:val="11"/>
  </w:num>
  <w:num w:numId="3" w16cid:durableId="617293621">
    <w:abstractNumId w:val="1"/>
  </w:num>
  <w:num w:numId="4" w16cid:durableId="1875384283">
    <w:abstractNumId w:val="8"/>
  </w:num>
  <w:num w:numId="5" w16cid:durableId="130442638">
    <w:abstractNumId w:val="7"/>
  </w:num>
  <w:num w:numId="6" w16cid:durableId="191261223">
    <w:abstractNumId w:val="9"/>
  </w:num>
  <w:num w:numId="7" w16cid:durableId="233979282">
    <w:abstractNumId w:val="4"/>
  </w:num>
  <w:num w:numId="8" w16cid:durableId="198670113">
    <w:abstractNumId w:val="5"/>
  </w:num>
  <w:num w:numId="9" w16cid:durableId="795375710">
    <w:abstractNumId w:val="15"/>
  </w:num>
  <w:num w:numId="10" w16cid:durableId="2044623285">
    <w:abstractNumId w:val="14"/>
  </w:num>
  <w:num w:numId="11" w16cid:durableId="415326897">
    <w:abstractNumId w:val="6"/>
  </w:num>
  <w:num w:numId="12" w16cid:durableId="926111440">
    <w:abstractNumId w:val="13"/>
  </w:num>
  <w:num w:numId="13" w16cid:durableId="863633414">
    <w:abstractNumId w:val="3"/>
  </w:num>
  <w:num w:numId="14" w16cid:durableId="3286630">
    <w:abstractNumId w:val="2"/>
  </w:num>
  <w:num w:numId="15" w16cid:durableId="358513744">
    <w:abstractNumId w:val="10"/>
  </w:num>
  <w:num w:numId="16" w16cid:durableId="1831631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CC"/>
    <w:rsid w:val="001B1092"/>
    <w:rsid w:val="001E4EDB"/>
    <w:rsid w:val="00391764"/>
    <w:rsid w:val="003C13CC"/>
    <w:rsid w:val="00683E0D"/>
    <w:rsid w:val="006D15C4"/>
    <w:rsid w:val="00987C9D"/>
    <w:rsid w:val="009B3DF5"/>
    <w:rsid w:val="00BA7EE8"/>
    <w:rsid w:val="00E451F3"/>
    <w:rsid w:val="00E70249"/>
    <w:rsid w:val="00E8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19F4"/>
  <w15:chartTrackingRefBased/>
  <w15:docId w15:val="{6EB2BAAE-0795-48A0-B113-F1D20406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3CC"/>
    <w:rPr>
      <w:rFonts w:eastAsiaTheme="majorEastAsia" w:cstheme="majorBidi"/>
      <w:color w:val="272727" w:themeColor="text1" w:themeTint="D8"/>
    </w:rPr>
  </w:style>
  <w:style w:type="paragraph" w:styleId="Title">
    <w:name w:val="Title"/>
    <w:basedOn w:val="Normal"/>
    <w:next w:val="Normal"/>
    <w:link w:val="TitleChar"/>
    <w:uiPriority w:val="10"/>
    <w:qFormat/>
    <w:rsid w:val="003C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3CC"/>
    <w:pPr>
      <w:spacing w:before="160"/>
      <w:jc w:val="center"/>
    </w:pPr>
    <w:rPr>
      <w:i/>
      <w:iCs/>
      <w:color w:val="404040" w:themeColor="text1" w:themeTint="BF"/>
    </w:rPr>
  </w:style>
  <w:style w:type="character" w:customStyle="1" w:styleId="QuoteChar">
    <w:name w:val="Quote Char"/>
    <w:basedOn w:val="DefaultParagraphFont"/>
    <w:link w:val="Quote"/>
    <w:uiPriority w:val="29"/>
    <w:rsid w:val="003C13CC"/>
    <w:rPr>
      <w:i/>
      <w:iCs/>
      <w:color w:val="404040" w:themeColor="text1" w:themeTint="BF"/>
    </w:rPr>
  </w:style>
  <w:style w:type="paragraph" w:styleId="ListParagraph">
    <w:name w:val="List Paragraph"/>
    <w:basedOn w:val="Normal"/>
    <w:uiPriority w:val="34"/>
    <w:qFormat/>
    <w:rsid w:val="003C13CC"/>
    <w:pPr>
      <w:ind w:left="720"/>
      <w:contextualSpacing/>
    </w:pPr>
  </w:style>
  <w:style w:type="character" w:styleId="IntenseEmphasis">
    <w:name w:val="Intense Emphasis"/>
    <w:basedOn w:val="DefaultParagraphFont"/>
    <w:uiPriority w:val="21"/>
    <w:qFormat/>
    <w:rsid w:val="003C13CC"/>
    <w:rPr>
      <w:i/>
      <w:iCs/>
      <w:color w:val="0F4761" w:themeColor="accent1" w:themeShade="BF"/>
    </w:rPr>
  </w:style>
  <w:style w:type="paragraph" w:styleId="IntenseQuote">
    <w:name w:val="Intense Quote"/>
    <w:basedOn w:val="Normal"/>
    <w:next w:val="Normal"/>
    <w:link w:val="IntenseQuoteChar"/>
    <w:uiPriority w:val="30"/>
    <w:qFormat/>
    <w:rsid w:val="003C1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3CC"/>
    <w:rPr>
      <w:i/>
      <w:iCs/>
      <w:color w:val="0F4761" w:themeColor="accent1" w:themeShade="BF"/>
    </w:rPr>
  </w:style>
  <w:style w:type="character" w:styleId="IntenseReference">
    <w:name w:val="Intense Reference"/>
    <w:basedOn w:val="DefaultParagraphFont"/>
    <w:uiPriority w:val="32"/>
    <w:qFormat/>
    <w:rsid w:val="003C1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7</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Brockwell</dc:creator>
  <cp:keywords/>
  <dc:description/>
  <cp:lastModifiedBy>Mary Brockwell</cp:lastModifiedBy>
  <cp:revision>10</cp:revision>
  <cp:lastPrinted>2026-01-05T17:12:00Z</cp:lastPrinted>
  <dcterms:created xsi:type="dcterms:W3CDTF">2026-01-05T17:04:00Z</dcterms:created>
  <dcterms:modified xsi:type="dcterms:W3CDTF">2026-01-06T09:36:00Z</dcterms:modified>
</cp:coreProperties>
</file>